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9" w:rsidRPr="008E7DE9" w:rsidRDefault="008E7DE9" w:rsidP="008E7DE9">
      <w:pPr>
        <w:ind w:left="426" w:right="-2"/>
        <w:jc w:val="both"/>
        <w:rPr>
          <w:rFonts w:ascii="Arial" w:hAnsi="Arial" w:cs="Arial"/>
        </w:rPr>
      </w:pPr>
    </w:p>
    <w:tbl>
      <w:tblPr>
        <w:tblW w:w="11113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149"/>
        <w:gridCol w:w="160"/>
        <w:gridCol w:w="1237"/>
      </w:tblGrid>
      <w:tr w:rsidR="008E7DE9" w:rsidRPr="008E7DE9" w:rsidTr="008E7DE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DE9" w:rsidRPr="008E7DE9" w:rsidRDefault="008E7DE9" w:rsidP="00832B0C">
            <w:pPr>
              <w:snapToGrid w:val="0"/>
              <w:jc w:val="center"/>
              <w:rPr>
                <w:rFonts w:ascii="Arial" w:hAnsi="Arial" w:cs="Arial"/>
              </w:rPr>
            </w:pPr>
            <w:r w:rsidRPr="008E7DE9">
              <w:rPr>
                <w:rFonts w:ascii="Arial" w:hAnsi="Arial" w:cs="Arial"/>
              </w:rPr>
              <w:t>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DE9" w:rsidRPr="008E7DE9" w:rsidRDefault="008E7DE9" w:rsidP="008E7DE9">
            <w:pPr>
              <w:snapToGrid w:val="0"/>
              <w:jc w:val="both"/>
              <w:rPr>
                <w:rFonts w:ascii="Arial" w:hAnsi="Arial" w:cs="Arial"/>
              </w:rPr>
            </w:pPr>
            <w:r w:rsidRPr="008E7DE9">
              <w:rPr>
                <w:rFonts w:ascii="Arial" w:hAnsi="Arial" w:cs="Arial"/>
              </w:rPr>
              <w:t>GESTIONE DELLA POLIZZA –</w:t>
            </w:r>
            <w:r>
              <w:rPr>
                <w:rFonts w:ascii="Arial" w:hAnsi="Arial" w:cs="Arial"/>
              </w:rPr>
              <w:t xml:space="preserve"> </w:t>
            </w:r>
            <w:r w:rsidRPr="008E7DE9">
              <w:rPr>
                <w:rFonts w:ascii="Arial" w:hAnsi="Arial" w:cs="Arial"/>
              </w:rPr>
              <w:t>CLAUSOLA BROKER –</w:t>
            </w:r>
            <w:r>
              <w:rPr>
                <w:rFonts w:ascii="Arial" w:hAnsi="Arial" w:cs="Arial"/>
              </w:rPr>
              <w:t xml:space="preserve"> </w:t>
            </w:r>
            <w:r w:rsidRPr="008E7DE9">
              <w:rPr>
                <w:rFonts w:ascii="Arial" w:hAnsi="Arial" w:cs="Arial"/>
              </w:rPr>
              <w:t xml:space="preserve">FORMA DELLE COMUNICAZIONI </w:t>
            </w:r>
          </w:p>
        </w:tc>
        <w:tc>
          <w:tcPr>
            <w:tcW w:w="160" w:type="dxa"/>
            <w:tcBorders>
              <w:left w:val="single" w:sz="4" w:space="0" w:color="000000"/>
            </w:tcBorders>
          </w:tcPr>
          <w:p w:rsidR="008E7DE9" w:rsidRPr="008E7DE9" w:rsidRDefault="008E7DE9" w:rsidP="00832B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8E7DE9" w:rsidRPr="008E7DE9" w:rsidRDefault="008E7DE9" w:rsidP="00832B0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E7DE9" w:rsidRPr="008E7DE9" w:rsidRDefault="008E7DE9" w:rsidP="008E7DE9">
      <w:pPr>
        <w:pStyle w:val="Rientrocorpodeltesto21"/>
        <w:tabs>
          <w:tab w:val="left" w:pos="0"/>
        </w:tabs>
        <w:ind w:left="567" w:right="-1" w:hanging="27"/>
        <w:rPr>
          <w:rFonts w:ascii="Arial" w:hAnsi="Arial" w:cs="Arial"/>
          <w:sz w:val="22"/>
          <w:szCs w:val="22"/>
        </w:rPr>
      </w:pPr>
    </w:p>
    <w:p w:rsidR="008E7DE9" w:rsidRPr="008E7DE9" w:rsidRDefault="008E7DE9" w:rsidP="008E7DE9">
      <w:pPr>
        <w:pStyle w:val="Rientrocorpodeltesto2"/>
        <w:tabs>
          <w:tab w:val="left" w:pos="0"/>
        </w:tabs>
        <w:spacing w:after="0" w:line="240" w:lineRule="auto"/>
        <w:ind w:left="567" w:hanging="28"/>
        <w:jc w:val="both"/>
        <w:rPr>
          <w:rFonts w:cs="Arial"/>
          <w:sz w:val="22"/>
          <w:szCs w:val="22"/>
        </w:rPr>
      </w:pPr>
      <w:r w:rsidRPr="008E7DE9">
        <w:rPr>
          <w:rFonts w:cs="Arial"/>
          <w:sz w:val="22"/>
          <w:szCs w:val="22"/>
        </w:rPr>
        <w:t>Le Parti convengono, in ogni caso, che per tutta la durata del Contratto, ivi comprese le proroghe e/o le appendici, anche di regolazione del premio</w:t>
      </w:r>
      <w:r>
        <w:rPr>
          <w:rFonts w:cs="Arial"/>
          <w:sz w:val="22"/>
          <w:szCs w:val="22"/>
        </w:rPr>
        <w:t xml:space="preserve"> e/o riforme e/o sostituzioni</w:t>
      </w:r>
      <w:r w:rsidRPr="008E7DE9">
        <w:rPr>
          <w:rFonts w:cs="Arial"/>
          <w:sz w:val="22"/>
          <w:szCs w:val="22"/>
        </w:rPr>
        <w:t>:</w:t>
      </w:r>
    </w:p>
    <w:p w:rsidR="008E7DE9" w:rsidRPr="008E7DE9" w:rsidRDefault="008E7DE9" w:rsidP="008E7DE9">
      <w:pPr>
        <w:pStyle w:val="Rientrocorpodeltesto21"/>
        <w:tabs>
          <w:tab w:val="left" w:pos="0"/>
        </w:tabs>
        <w:ind w:left="567" w:right="-1" w:hanging="27"/>
        <w:rPr>
          <w:rFonts w:ascii="Arial" w:hAnsi="Arial" w:cs="Arial"/>
          <w:sz w:val="22"/>
          <w:szCs w:val="22"/>
        </w:rPr>
      </w:pPr>
    </w:p>
    <w:p w:rsidR="008E7DE9" w:rsidRDefault="008E7DE9" w:rsidP="008E7DE9">
      <w:pPr>
        <w:pStyle w:val="Rientrocorpodeltesto21"/>
        <w:numPr>
          <w:ilvl w:val="0"/>
          <w:numId w:val="4"/>
        </w:numPr>
        <w:tabs>
          <w:tab w:val="left" w:pos="284"/>
          <w:tab w:val="left" w:pos="432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7DE9">
        <w:rPr>
          <w:rFonts w:ascii="Arial" w:hAnsi="Arial" w:cs="Arial"/>
          <w:sz w:val="22"/>
          <w:szCs w:val="22"/>
        </w:rPr>
        <w:t>la gestione e l’assistenza nell’esecuzione del presente Contratto, con esclusione della potestà contrattuale, che resta di esclusiva competenza del Contraente, è affidata al Broker (</w:t>
      </w:r>
      <w:proofErr w:type="spellStart"/>
      <w:r w:rsidRPr="008E7DE9">
        <w:rPr>
          <w:rFonts w:ascii="Arial" w:hAnsi="Arial" w:cs="Arial"/>
          <w:sz w:val="22"/>
          <w:szCs w:val="22"/>
        </w:rPr>
        <w:t>vedasi</w:t>
      </w:r>
      <w:proofErr w:type="spellEnd"/>
      <w:r w:rsidRPr="008E7DE9">
        <w:rPr>
          <w:rFonts w:ascii="Arial" w:hAnsi="Arial" w:cs="Arial"/>
          <w:sz w:val="22"/>
          <w:szCs w:val="22"/>
        </w:rPr>
        <w:t xml:space="preserve"> Definizione);</w:t>
      </w:r>
    </w:p>
    <w:p w:rsidR="008E7DE9" w:rsidRPr="008E7DE9" w:rsidRDefault="008E7DE9" w:rsidP="008E7DE9">
      <w:pPr>
        <w:pStyle w:val="Rientrocorpodeltesto21"/>
        <w:tabs>
          <w:tab w:val="left" w:pos="284"/>
          <w:tab w:val="left" w:pos="432"/>
          <w:tab w:val="left" w:pos="567"/>
          <w:tab w:val="left" w:pos="1134"/>
        </w:tabs>
        <w:ind w:left="720" w:firstLine="0"/>
        <w:rPr>
          <w:rFonts w:ascii="Arial" w:hAnsi="Arial" w:cs="Arial"/>
          <w:sz w:val="22"/>
          <w:szCs w:val="22"/>
        </w:rPr>
      </w:pPr>
    </w:p>
    <w:p w:rsidR="008E7DE9" w:rsidRDefault="008E7DE9" w:rsidP="008E7DE9">
      <w:pPr>
        <w:pStyle w:val="Rientrocorpodeltesto21"/>
        <w:numPr>
          <w:ilvl w:val="0"/>
          <w:numId w:val="4"/>
        </w:numPr>
        <w:tabs>
          <w:tab w:val="left" w:pos="284"/>
          <w:tab w:val="left" w:pos="432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7DE9">
        <w:rPr>
          <w:rFonts w:ascii="Arial" w:hAnsi="Arial" w:cs="Arial"/>
          <w:sz w:val="22"/>
          <w:szCs w:val="22"/>
        </w:rPr>
        <w:t>agli effetti dei termini temporali fissati dalle condizioni di assicurazione, ogni comunicazione fatta dal Broker, nel nome e per conto del Contraente e/o Assicurato, agli Assicuratori, si intenderà come fatta dal Contraente e/o dall’Assicurato e viceversa, parimenti ogni comunicazione fatta al Broker si intenderà come fatta agli Assicuratori, ivi comprese quelle ai fini degli artt. 1913 e 2952 del Codice Civile;</w:t>
      </w:r>
    </w:p>
    <w:p w:rsidR="008E7DE9" w:rsidRPr="008E7DE9" w:rsidRDefault="008E7DE9" w:rsidP="008E7DE9">
      <w:pPr>
        <w:pStyle w:val="Rientrocorpodeltesto21"/>
        <w:tabs>
          <w:tab w:val="left" w:pos="284"/>
          <w:tab w:val="left" w:pos="432"/>
          <w:tab w:val="left" w:pos="567"/>
          <w:tab w:val="left" w:pos="1134"/>
        </w:tabs>
        <w:ind w:left="720" w:firstLine="0"/>
        <w:rPr>
          <w:rFonts w:ascii="Arial" w:hAnsi="Arial" w:cs="Arial"/>
          <w:sz w:val="22"/>
          <w:szCs w:val="22"/>
        </w:rPr>
      </w:pPr>
    </w:p>
    <w:p w:rsidR="008E7DE9" w:rsidRPr="008E7DE9" w:rsidRDefault="008E7DE9" w:rsidP="008E7DE9">
      <w:pPr>
        <w:pStyle w:val="Rientrocorpodeltesto21"/>
        <w:numPr>
          <w:ilvl w:val="0"/>
          <w:numId w:val="4"/>
        </w:numPr>
        <w:tabs>
          <w:tab w:val="left" w:pos="284"/>
          <w:tab w:val="left" w:pos="432"/>
          <w:tab w:val="left" w:pos="567"/>
          <w:tab w:val="left" w:pos="1134"/>
        </w:tabs>
        <w:rPr>
          <w:rFonts w:ascii="Arial" w:eastAsia="Arial Unicode MS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8E7DE9">
        <w:rPr>
          <w:rFonts w:ascii="Arial" w:hAnsi="Arial" w:cs="Arial"/>
          <w:sz w:val="22"/>
          <w:szCs w:val="22"/>
        </w:rPr>
        <w:t>tutte le comunicazioni fra le Parti e le eventuali modifiche del contratto, debbono essere fatte, per essere valide, per iscritto con lettera raccomandata A/R, telex, fax, pec o altro mezzo ritenuto idoneo;</w:t>
      </w:r>
    </w:p>
    <w:p w:rsidR="008E7DE9" w:rsidRPr="008E7DE9" w:rsidRDefault="008E7DE9" w:rsidP="008E7DE9">
      <w:pPr>
        <w:pStyle w:val="Rientrocorpodeltesto21"/>
        <w:tabs>
          <w:tab w:val="left" w:pos="284"/>
          <w:tab w:val="left" w:pos="432"/>
          <w:tab w:val="left" w:pos="567"/>
          <w:tab w:val="left" w:pos="1134"/>
        </w:tabs>
        <w:ind w:left="720" w:firstLine="0"/>
        <w:rPr>
          <w:rFonts w:ascii="Arial" w:eastAsia="Arial Unicode MS" w:hAnsi="Arial" w:cs="Arial"/>
        </w:rPr>
      </w:pPr>
    </w:p>
    <w:p w:rsidR="008E7DE9" w:rsidRPr="008E7DE9" w:rsidRDefault="008E7DE9" w:rsidP="008E7DE9">
      <w:pPr>
        <w:pStyle w:val="Rientrocorpodeltesto21"/>
        <w:numPr>
          <w:ilvl w:val="0"/>
          <w:numId w:val="4"/>
        </w:numPr>
        <w:tabs>
          <w:tab w:val="left" w:pos="284"/>
          <w:tab w:val="left" w:pos="432"/>
          <w:tab w:val="left" w:pos="567"/>
          <w:tab w:val="left" w:pos="1134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E7DE9">
        <w:rPr>
          <w:rFonts w:ascii="Arial" w:hAnsi="Arial" w:cs="Arial"/>
          <w:sz w:val="22"/>
          <w:szCs w:val="22"/>
        </w:rPr>
        <w:t>gli Assicuratori prendono atto che il pagamento dei premi viene effettuato al Broker e riconoscono che tale pagamento è liberatorio, ai fini dell’Art. 1901 del Codice Civile, per il Contraente</w:t>
      </w:r>
      <w:r w:rsidRPr="008E7DE9">
        <w:rPr>
          <w:rFonts w:ascii="Arial" w:hAnsi="Arial" w:cs="Arial"/>
          <w:color w:val="000000"/>
          <w:sz w:val="22"/>
          <w:szCs w:val="22"/>
        </w:rPr>
        <w:t>;ai fini della copertura assicurativa farà fede la data della relativa comunicazione scritta del suddetto Broker, che trasmetterà i relativi importi agli Assicuratori affidatari del servizio con le modalità e nei termini temporali normalmente previsti dagli accordi di collaborazione tra Broker ed Assicuratori;</w:t>
      </w:r>
    </w:p>
    <w:p w:rsidR="008E7DE9" w:rsidRPr="008E7DE9" w:rsidRDefault="008E7DE9" w:rsidP="008E7DE9">
      <w:pPr>
        <w:pStyle w:val="Rientrocorpodeltesto21"/>
        <w:tabs>
          <w:tab w:val="left" w:pos="284"/>
          <w:tab w:val="left" w:pos="432"/>
          <w:tab w:val="left" w:pos="567"/>
          <w:tab w:val="left" w:pos="1134"/>
        </w:tabs>
        <w:ind w:left="720" w:firstLine="0"/>
        <w:rPr>
          <w:rFonts w:ascii="Arial" w:eastAsia="Arial Unicode MS" w:hAnsi="Arial" w:cs="Arial"/>
          <w:sz w:val="22"/>
          <w:szCs w:val="22"/>
        </w:rPr>
      </w:pPr>
    </w:p>
    <w:p w:rsidR="008E7DE9" w:rsidRPr="008E7DE9" w:rsidRDefault="008E7DE9" w:rsidP="008E7DE9">
      <w:pPr>
        <w:pStyle w:val="Rientrocorpodeltesto2"/>
        <w:numPr>
          <w:ilvl w:val="0"/>
          <w:numId w:val="4"/>
        </w:numPr>
        <w:tabs>
          <w:tab w:val="left" w:pos="284"/>
          <w:tab w:val="left" w:pos="432"/>
          <w:tab w:val="left" w:pos="567"/>
        </w:tabs>
        <w:suppressAutoHyphens w:val="0"/>
        <w:spacing w:after="0" w:line="240" w:lineRule="auto"/>
        <w:ind w:right="-1"/>
        <w:jc w:val="both"/>
        <w:rPr>
          <w:rFonts w:eastAsia="Arial Unicode MS" w:cs="Arial"/>
          <w:sz w:val="22"/>
          <w:szCs w:val="22"/>
        </w:rPr>
      </w:pPr>
      <w:r w:rsidRPr="008E7DE9">
        <w:rPr>
          <w:rFonts w:cs="Arial"/>
          <w:sz w:val="22"/>
          <w:szCs w:val="22"/>
        </w:rPr>
        <w:tab/>
        <w:t>per l’intero complesso delle attività del Broker, relativamente al presente contratto, la remunerazione della stessa è a carico degli Assicuratori aggiudicatari e/o affidatari del servizio e dovrà comunque essere parte dell’aliquota riconosciuta dagli Stessi alla propria rete di vendita, tale remunerazione non rappresenta, in ogni caso, un onere aggiuntivo al premio di polizza per il Contraente.</w:t>
      </w:r>
    </w:p>
    <w:p w:rsidR="00000000" w:rsidRPr="008E7DE9" w:rsidRDefault="008E7DE9">
      <w:pPr>
        <w:rPr>
          <w:rFonts w:ascii="Arial" w:hAnsi="Arial" w:cs="Arial"/>
        </w:rPr>
      </w:pPr>
    </w:p>
    <w:sectPr w:rsidR="00000000" w:rsidRPr="008E7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419958BC"/>
    <w:multiLevelType w:val="hybridMultilevel"/>
    <w:tmpl w:val="E2FC8854"/>
    <w:lvl w:ilvl="0" w:tplc="D2FA6750">
      <w:start w:val="1"/>
      <w:numFmt w:val="decimal"/>
      <w:lvlText w:val="%1"/>
      <w:lvlJc w:val="left"/>
      <w:pPr>
        <w:ind w:left="927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CD32A9"/>
    <w:multiLevelType w:val="hybridMultilevel"/>
    <w:tmpl w:val="5A784822"/>
    <w:lvl w:ilvl="0" w:tplc="FBDA6D3C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61C12DA"/>
    <w:multiLevelType w:val="hybridMultilevel"/>
    <w:tmpl w:val="9B605256"/>
    <w:lvl w:ilvl="0" w:tplc="FBDA6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40632"/>
    <w:multiLevelType w:val="hybridMultilevel"/>
    <w:tmpl w:val="CB701D72"/>
    <w:lvl w:ilvl="0" w:tplc="FBDA6D3C">
      <w:start w:val="1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5">
    <w:nsid w:val="78244A11"/>
    <w:multiLevelType w:val="hybridMultilevel"/>
    <w:tmpl w:val="5A1668EA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8E7DE9"/>
    <w:rsid w:val="008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8E7DE9"/>
    <w:pPr>
      <w:suppressAutoHyphens/>
      <w:spacing w:after="0" w:line="240" w:lineRule="auto"/>
      <w:ind w:left="360" w:hanging="360"/>
      <w:jc w:val="both"/>
    </w:pPr>
    <w:rPr>
      <w:rFonts w:ascii="CG Omega" w:eastAsia="Times New Roman" w:hAnsi="CG Omega" w:cs="Times New Roman"/>
      <w:sz w:val="20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rsid w:val="008E7DE9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E7DE9"/>
    <w:rPr>
      <w:rFonts w:ascii="Arial" w:eastAsia="Times New Roman" w:hAnsi="Arial" w:cs="Times New Roman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E7D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E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2014-12-12T09:41:00Z</cp:lastPrinted>
  <dcterms:created xsi:type="dcterms:W3CDTF">2014-12-12T09:31:00Z</dcterms:created>
  <dcterms:modified xsi:type="dcterms:W3CDTF">2014-12-12T09:41:00Z</dcterms:modified>
</cp:coreProperties>
</file>